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0E" w:rsidRDefault="00300A0E" w:rsidP="00A9632B">
      <w:pPr>
        <w:pStyle w:val="a3"/>
        <w:shd w:val="clear" w:color="auto" w:fill="FFFFFF"/>
        <w:spacing w:before="0" w:beforeAutospacing="0" w:after="150" w:afterAutospacing="0" w:line="360" w:lineRule="auto"/>
        <w:jc w:val="center"/>
        <w:rPr>
          <w:b/>
          <w:bCs/>
          <w:color w:val="000000"/>
          <w:sz w:val="28"/>
          <w:szCs w:val="28"/>
        </w:rPr>
      </w:pPr>
    </w:p>
    <w:p w:rsidR="00A9632B" w:rsidRDefault="00A9632B" w:rsidP="00A9632B">
      <w:pPr>
        <w:pStyle w:val="a3"/>
        <w:shd w:val="clear" w:color="auto" w:fill="FFFFFF"/>
        <w:spacing w:before="0" w:beforeAutospacing="0" w:after="150" w:afterAutospacing="0" w:line="360" w:lineRule="auto"/>
        <w:jc w:val="center"/>
        <w:rPr>
          <w:b/>
          <w:bCs/>
          <w:color w:val="000000"/>
          <w:sz w:val="28"/>
          <w:szCs w:val="28"/>
        </w:rPr>
      </w:pPr>
      <w:r>
        <w:rPr>
          <w:b/>
          <w:bCs/>
          <w:color w:val="000000"/>
          <w:sz w:val="28"/>
          <w:szCs w:val="28"/>
        </w:rPr>
        <w:t>ГОУ ТО «Суворовская школа для обучающихся с ОВЗ»</w:t>
      </w:r>
    </w:p>
    <w:p w:rsidR="00A9632B" w:rsidRDefault="00A9632B" w:rsidP="00A9632B">
      <w:pPr>
        <w:pStyle w:val="a3"/>
        <w:shd w:val="clear" w:color="auto" w:fill="FFFFFF"/>
        <w:spacing w:before="0" w:beforeAutospacing="0" w:after="150" w:afterAutospacing="0" w:line="360" w:lineRule="auto"/>
        <w:jc w:val="center"/>
        <w:rPr>
          <w:b/>
          <w:bCs/>
          <w:color w:val="000000"/>
          <w:sz w:val="28"/>
          <w:szCs w:val="28"/>
        </w:rPr>
      </w:pPr>
    </w:p>
    <w:p w:rsidR="00A9632B" w:rsidRDefault="00A9632B" w:rsidP="00A9632B">
      <w:pPr>
        <w:pStyle w:val="a3"/>
        <w:shd w:val="clear" w:color="auto" w:fill="FFFFFF"/>
        <w:spacing w:before="0" w:beforeAutospacing="0" w:after="150" w:afterAutospacing="0" w:line="360" w:lineRule="auto"/>
        <w:jc w:val="center"/>
        <w:rPr>
          <w:b/>
          <w:bCs/>
          <w:color w:val="000000"/>
          <w:sz w:val="28"/>
          <w:szCs w:val="28"/>
        </w:rPr>
      </w:pPr>
    </w:p>
    <w:p w:rsidR="00A9632B" w:rsidRDefault="00A9632B" w:rsidP="00A9632B">
      <w:pPr>
        <w:pStyle w:val="a3"/>
        <w:shd w:val="clear" w:color="auto" w:fill="FFFFFF"/>
        <w:spacing w:before="0" w:beforeAutospacing="0" w:after="150" w:afterAutospacing="0" w:line="360" w:lineRule="auto"/>
        <w:rPr>
          <w:b/>
          <w:bCs/>
          <w:color w:val="000000"/>
          <w:sz w:val="28"/>
          <w:szCs w:val="28"/>
        </w:rPr>
      </w:pPr>
    </w:p>
    <w:p w:rsidR="00A9632B" w:rsidRDefault="00300A0E" w:rsidP="00A9632B">
      <w:pPr>
        <w:pStyle w:val="a3"/>
        <w:shd w:val="clear" w:color="auto" w:fill="FFFFFF"/>
        <w:spacing w:before="0" w:beforeAutospacing="0" w:after="150" w:afterAutospacing="0" w:line="360" w:lineRule="auto"/>
        <w:jc w:val="center"/>
        <w:rPr>
          <w:b/>
          <w:bCs/>
          <w:color w:val="000000"/>
          <w:sz w:val="52"/>
          <w:szCs w:val="52"/>
        </w:rPr>
      </w:pPr>
      <w:r>
        <w:rPr>
          <w:b/>
          <w:bCs/>
          <w:color w:val="000000"/>
          <w:sz w:val="52"/>
          <w:szCs w:val="52"/>
        </w:rPr>
        <w:t>Р</w:t>
      </w:r>
      <w:r w:rsidR="00A9632B" w:rsidRPr="00A9632B">
        <w:rPr>
          <w:b/>
          <w:bCs/>
          <w:color w:val="000000"/>
          <w:sz w:val="52"/>
          <w:szCs w:val="52"/>
        </w:rPr>
        <w:t>екомендации у</w:t>
      </w:r>
      <w:r>
        <w:rPr>
          <w:b/>
          <w:bCs/>
          <w:color w:val="000000"/>
          <w:sz w:val="52"/>
          <w:szCs w:val="52"/>
        </w:rPr>
        <w:t>чителям по работе с детьми с</w:t>
      </w:r>
    </w:p>
    <w:p w:rsidR="00300A0E" w:rsidRDefault="00300A0E" w:rsidP="00A9632B">
      <w:pPr>
        <w:pStyle w:val="a3"/>
        <w:shd w:val="clear" w:color="auto" w:fill="FFFFFF"/>
        <w:spacing w:before="0" w:beforeAutospacing="0" w:after="150" w:afterAutospacing="0" w:line="360" w:lineRule="auto"/>
        <w:jc w:val="center"/>
        <w:rPr>
          <w:b/>
          <w:bCs/>
          <w:color w:val="000000"/>
          <w:sz w:val="52"/>
          <w:szCs w:val="52"/>
        </w:rPr>
      </w:pPr>
      <w:r>
        <w:rPr>
          <w:b/>
          <w:bCs/>
          <w:color w:val="000000"/>
          <w:sz w:val="52"/>
          <w:szCs w:val="52"/>
        </w:rPr>
        <w:t>умственной отсталость над развитием грамматического строя речи</w:t>
      </w:r>
    </w:p>
    <w:p w:rsidR="00A9632B" w:rsidRPr="00A9632B" w:rsidRDefault="00A9632B" w:rsidP="00A9632B">
      <w:pPr>
        <w:pStyle w:val="a3"/>
        <w:shd w:val="clear" w:color="auto" w:fill="FFFFFF"/>
        <w:spacing w:before="0" w:beforeAutospacing="0" w:after="150" w:afterAutospacing="0" w:line="360" w:lineRule="auto"/>
        <w:jc w:val="center"/>
        <w:rPr>
          <w:color w:val="000000"/>
          <w:sz w:val="52"/>
          <w:szCs w:val="52"/>
        </w:rPr>
      </w:pPr>
      <w:r>
        <w:rPr>
          <w:noProof/>
        </w:rPr>
        <w:drawing>
          <wp:inline distT="0" distB="0" distL="0" distR="0" wp14:anchorId="61D16BAC" wp14:editId="3A1C956E">
            <wp:extent cx="6191250" cy="3959860"/>
            <wp:effectExtent l="0" t="0" r="0" b="2540"/>
            <wp:docPr id="3" name="Рисунок 3" descr="https://dostupnaya-strana.ru/userfiles/image/%D0%BF%D1%81%D0%B8%D1%85%D0%BE%D0%BB%D0%BE%D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stupnaya-strana.ru/userfiles/image/%D0%BF%D1%81%D0%B8%D1%85%D0%BE%D0%BB%D0%BE%D0%B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911" cy="3960283"/>
                    </a:xfrm>
                    <a:prstGeom prst="rect">
                      <a:avLst/>
                    </a:prstGeom>
                    <a:noFill/>
                    <a:ln>
                      <a:noFill/>
                    </a:ln>
                  </pic:spPr>
                </pic:pic>
              </a:graphicData>
            </a:graphic>
          </wp:inline>
        </w:drawing>
      </w:r>
    </w:p>
    <w:p w:rsidR="00A9632B" w:rsidRDefault="00A9632B">
      <w:pPr>
        <w:rPr>
          <w:b/>
          <w:bCs/>
          <w:color w:val="000000"/>
          <w:sz w:val="28"/>
          <w:szCs w:val="28"/>
        </w:rPr>
      </w:pPr>
    </w:p>
    <w:p w:rsidR="00A9632B" w:rsidRDefault="00A9632B">
      <w:pPr>
        <w:rPr>
          <w:b/>
          <w:bCs/>
          <w:color w:val="000000"/>
          <w:sz w:val="28"/>
          <w:szCs w:val="28"/>
        </w:rPr>
      </w:pPr>
      <w:r>
        <w:rPr>
          <w:b/>
          <w:bCs/>
          <w:color w:val="000000"/>
          <w:sz w:val="28"/>
          <w:szCs w:val="28"/>
        </w:rPr>
        <w:br w:type="page"/>
      </w:r>
    </w:p>
    <w:p w:rsidR="009F4AF8" w:rsidRDefault="009F4AF8" w:rsidP="003B5FCD">
      <w:pPr>
        <w:spacing w:line="360" w:lineRule="auto"/>
        <w:ind w:firstLine="1276"/>
        <w:jc w:val="both"/>
        <w:rPr>
          <w:rFonts w:ascii="Times New Roman" w:hAnsi="Times New Roman" w:cs="Times New Roman"/>
          <w:sz w:val="28"/>
          <w:szCs w:val="28"/>
        </w:rPr>
      </w:pPr>
      <w:r w:rsidRPr="009F4AF8">
        <w:rPr>
          <w:rFonts w:ascii="Times New Roman" w:hAnsi="Times New Roman" w:cs="Times New Roman"/>
          <w:sz w:val="28"/>
          <w:szCs w:val="28"/>
        </w:rPr>
        <w:lastRenderedPageBreak/>
        <w:t>Грамматический строй – система взаимодействия слов между собой в словосочетаниях и предложениях. Различают морфологический и синтаксический уровни грамматической системы. Морфологический уровень предполагает умение владеть приемами словоизменения и словообразования, синтаксический – умение составлять предложения, грамматически правильно сочетать слова в предложении.</w:t>
      </w:r>
    </w:p>
    <w:p w:rsidR="009F4AF8" w:rsidRPr="009F4AF8" w:rsidRDefault="009F4AF8" w:rsidP="009F4AF8">
      <w:pPr>
        <w:spacing w:line="360" w:lineRule="auto"/>
        <w:ind w:firstLine="1276"/>
        <w:jc w:val="both"/>
        <w:rPr>
          <w:rFonts w:ascii="Times New Roman" w:hAnsi="Times New Roman" w:cs="Times New Roman"/>
          <w:sz w:val="28"/>
          <w:szCs w:val="28"/>
        </w:rPr>
      </w:pPr>
      <w:r w:rsidRPr="009F4AF8">
        <w:rPr>
          <w:rFonts w:ascii="Times New Roman" w:hAnsi="Times New Roman" w:cs="Times New Roman"/>
          <w:sz w:val="28"/>
          <w:szCs w:val="28"/>
        </w:rPr>
        <w:t xml:space="preserve">Для того, чтобы речь </w:t>
      </w:r>
      <w:r w:rsidRPr="009F4AF8">
        <w:rPr>
          <w:rFonts w:ascii="Times New Roman" w:hAnsi="Times New Roman" w:cs="Times New Roman"/>
          <w:sz w:val="28"/>
          <w:szCs w:val="28"/>
        </w:rPr>
        <w:t xml:space="preserve">школьника соответствовала его возрасту, необходим целый ряд факторов, влияющих на его речевое развитие. Таким фактором, несомненно, является наличие у ребенка врожденного языкового чутья. Однако, чтобы речевое развитие ребенка соответствовало возрастной норме, одного чувства языка недостаточно. К тому же, врожденное языковое чутье у ребенка может быть нарушено или отсутствовать вовсе. Такое возможно, если ребенок воспитывается в смешанном браке, где один из родителей является носителем другого языка и другой языковой культуры. Большое влияние на формирование грамматической стороны речи ребенка имеет правильно организованная речевая среда, в которой он находится. И, в первую очередь, это форма общения с ним окружающих взрослых, ведь именно взрослые дают ребенку образец правильной литературной речи. Педагог должен сам владеть грамотной речью и уметь в случае необходимости профессионально и тактично дать рекомендации близким ребенку взрослым, если их форма общения с ребенком не способствует его речевому развитию (излишнее «сюсюканье» или общение, не соответствующее возрастным возможностям ребенка). При проведении грамматической работы имеет значение и стиль общения педагога с детьми: неуместны ирония или насмешки над грамматическими ошибками, допущенными детьми, надуманные репродуктивные ответы (например, просьба взрослого всем детям повторить правильное высказывание), подчеркнутые исправления ошибок. Более естественным способом коррекции грамматических ошибок является прием, когда взрослый в свою речь включает нормативную форму высказывания, давая тем самым опосредованно образец правильной речи. Наиболее важным фактором, влияющим на развитие речи </w:t>
      </w:r>
      <w:r w:rsidRPr="009F4AF8">
        <w:rPr>
          <w:rFonts w:ascii="Times New Roman" w:hAnsi="Times New Roman" w:cs="Times New Roman"/>
          <w:sz w:val="28"/>
          <w:szCs w:val="28"/>
        </w:rPr>
        <w:t xml:space="preserve">ребёнка </w:t>
      </w:r>
      <w:r w:rsidRPr="009F4AF8">
        <w:rPr>
          <w:rFonts w:ascii="Times New Roman" w:hAnsi="Times New Roman" w:cs="Times New Roman"/>
          <w:sz w:val="28"/>
          <w:szCs w:val="28"/>
        </w:rPr>
        <w:t>в целом, и грамматической стороны речи в частности, является целенаправленное педагогическое воздействие.</w:t>
      </w:r>
    </w:p>
    <w:p w:rsidR="00300A0E" w:rsidRPr="003B5FCD" w:rsidRDefault="00300A0E" w:rsidP="003B5FCD">
      <w:pPr>
        <w:spacing w:line="360" w:lineRule="auto"/>
        <w:ind w:firstLine="1276"/>
        <w:jc w:val="both"/>
        <w:rPr>
          <w:rFonts w:ascii="Times New Roman" w:hAnsi="Times New Roman" w:cs="Times New Roman"/>
          <w:sz w:val="28"/>
          <w:szCs w:val="28"/>
        </w:rPr>
      </w:pPr>
      <w:r w:rsidRPr="003B5FCD">
        <w:rPr>
          <w:rFonts w:ascii="Times New Roman" w:hAnsi="Times New Roman" w:cs="Times New Roman"/>
          <w:sz w:val="28"/>
          <w:szCs w:val="28"/>
        </w:rPr>
        <w:t xml:space="preserve">В </w:t>
      </w:r>
      <w:r w:rsidR="003B5FCD" w:rsidRPr="003B5FCD">
        <w:rPr>
          <w:rFonts w:ascii="Times New Roman" w:hAnsi="Times New Roman" w:cs="Times New Roman"/>
          <w:sz w:val="28"/>
          <w:szCs w:val="28"/>
        </w:rPr>
        <w:t xml:space="preserve">эти простые игры </w:t>
      </w:r>
      <w:r w:rsidR="003B5FCD">
        <w:rPr>
          <w:rFonts w:ascii="Times New Roman" w:hAnsi="Times New Roman" w:cs="Times New Roman"/>
          <w:sz w:val="28"/>
          <w:szCs w:val="28"/>
        </w:rPr>
        <w:t>можно поиграть на переменах или классном часе, в группе продлённого дня или на прогулке. Дети даже не поймут, что происходит их обучение, потому что они так просты и не требую ник</w:t>
      </w:r>
      <w:bookmarkStart w:id="0" w:name="_GoBack"/>
      <w:bookmarkEnd w:id="0"/>
      <w:r w:rsidR="003B5FCD">
        <w:rPr>
          <w:rFonts w:ascii="Times New Roman" w:hAnsi="Times New Roman" w:cs="Times New Roman"/>
          <w:sz w:val="28"/>
          <w:szCs w:val="28"/>
        </w:rPr>
        <w:t xml:space="preserve">аких дополнительных условий. </w:t>
      </w:r>
    </w:p>
    <w:p w:rsidR="00341ABE" w:rsidRPr="00300A0E" w:rsidRDefault="00300A0E" w:rsidP="00300A0E">
      <w:pPr>
        <w:spacing w:line="360" w:lineRule="auto"/>
        <w:jc w:val="center"/>
        <w:rPr>
          <w:rFonts w:ascii="Times New Roman" w:hAnsi="Times New Roman" w:cs="Times New Roman"/>
          <w:b/>
          <w:sz w:val="28"/>
          <w:szCs w:val="28"/>
        </w:rPr>
      </w:pPr>
      <w:r w:rsidRPr="00300A0E">
        <w:rPr>
          <w:rFonts w:ascii="Times New Roman" w:hAnsi="Times New Roman" w:cs="Times New Roman"/>
          <w:b/>
          <w:sz w:val="28"/>
          <w:szCs w:val="28"/>
        </w:rPr>
        <w:lastRenderedPageBreak/>
        <w:t xml:space="preserve">Некоторые виды дидактических игр и упражнений по формированию грамматического строя речи для совместной работы взрослого с детьми </w:t>
      </w:r>
    </w:p>
    <w:p w:rsidR="00300A0E" w:rsidRPr="00300A0E" w:rsidRDefault="00300A0E" w:rsidP="003B5FCD">
      <w:pPr>
        <w:pStyle w:val="a4"/>
        <w:numPr>
          <w:ilvl w:val="0"/>
          <w:numId w:val="2"/>
        </w:num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t>«Один – много» (образование множественного числа существительных): мяч – мячи, кукла – куклы…</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«Назови семейку» (употребление названия животных и их детенышей в ед. и мн. числе): кошка – котенок – котята, утка – утенок – утята…</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«Кого вижу?», «Кого зовут мамы?» (употребления названий животных и их детенышей в винительном падеже): кошек, собак, коров; котят, лисят, утят…</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«Назови ласково» (образование существительных с </w:t>
      </w:r>
      <w:proofErr w:type="spellStart"/>
      <w:r w:rsidRPr="00300A0E">
        <w:rPr>
          <w:rFonts w:ascii="Times New Roman" w:hAnsi="Times New Roman" w:cs="Times New Roman"/>
          <w:sz w:val="28"/>
          <w:szCs w:val="28"/>
        </w:rPr>
        <w:t>уменьшительноласкательными</w:t>
      </w:r>
      <w:proofErr w:type="spellEnd"/>
      <w:r w:rsidRPr="00300A0E">
        <w:rPr>
          <w:rFonts w:ascii="Times New Roman" w:hAnsi="Times New Roman" w:cs="Times New Roman"/>
          <w:sz w:val="28"/>
          <w:szCs w:val="28"/>
        </w:rPr>
        <w:t xml:space="preserve"> суффиксами): мяч – мячик, кукла – куколка…</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«Мой – моя – моё – мои», «Наш – наша – наше – наши» (согласование притяжательных местоимений с существительными в роде, числе): мой мяч, моя кукла, мое платье, мои игрушки…</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«Кто что делает?» (согласование личных местоимений с глаголами в роде, числе): Я иду. Мы идем. Он идет. Она идет. Они идут…</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«Что делаем? Что сделали?» (употребление глаголов совершенного и несовершенного вида): лепим – слепили, рисуем – нарисовали…</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«Что будем делать?» (употребление глаголов в будущем времени).</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«Прятки», «Где? Куда? Откуда?» (упражнение в использовании простых предлогов в, на, у, за, под, около).</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«Чего много?» (форма множественного числа существительных в родительном падеже): игрушек, вилок, тарелок, туфель…</w:t>
      </w:r>
    </w:p>
    <w:p w:rsidR="00300A0E" w:rsidRP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«Какой – какая – какое - какие?» (согласование качественных прилагательных с существительными в роде, числе): синяя чашка, синий платок, синее ведро, синие ленты; теплая шапка, теплый шарф, теплое пальто, теплые варежки…</w:t>
      </w:r>
    </w:p>
    <w:p w:rsidR="00300A0E" w:rsidRDefault="00300A0E" w:rsidP="003B5FCD">
      <w:pPr>
        <w:spacing w:line="360" w:lineRule="auto"/>
        <w:jc w:val="center"/>
        <w:rPr>
          <w:rFonts w:ascii="Times New Roman" w:hAnsi="Times New Roman" w:cs="Times New Roman"/>
          <w:sz w:val="28"/>
          <w:szCs w:val="28"/>
        </w:rPr>
      </w:pPr>
      <w:r w:rsidRPr="00300A0E">
        <w:rPr>
          <w:rFonts w:ascii="Times New Roman" w:hAnsi="Times New Roman" w:cs="Times New Roman"/>
          <w:sz w:val="28"/>
          <w:szCs w:val="28"/>
        </w:rPr>
        <w:sym w:font="Symbol" w:char="F0B7"/>
      </w:r>
      <w:r w:rsidRPr="00300A0E">
        <w:rPr>
          <w:rFonts w:ascii="Times New Roman" w:hAnsi="Times New Roman" w:cs="Times New Roman"/>
          <w:sz w:val="28"/>
          <w:szCs w:val="28"/>
        </w:rPr>
        <w:t xml:space="preserve"> «Скажи наоборот» (подбор прилагательных с противоположным значением): чистый – грязный, веселый – грустный; высокий – низкий…</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lastRenderedPageBreak/>
        <w:t>«Назови как можно больше слов-признаков» (подбор однородных прилагательных к существительному): лиса – дикая, хищная, рыжая, пушистая, осторожная, ловкая…</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«Назови как можно больше слов-действий» (подбор однородных сказуемых к существительному): собака – лает, кусает, грызет, ласкается, охраняет, защищает, лежит, спит, бежит…</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«Прятки», «Где? Куда? Откуда?» (упражнение в практическом использовании простых и сложных предлогов).</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«Собери семейку слов», «Слова-родственники» (подбор родственных слов к заданному слову): снег – снежок,</w:t>
      </w:r>
      <w:r w:rsidRPr="003B5FCD">
        <w:t xml:space="preserve"> </w:t>
      </w:r>
      <w:r w:rsidRPr="003B5FCD">
        <w:rPr>
          <w:rFonts w:ascii="Times New Roman" w:hAnsi="Times New Roman" w:cs="Times New Roman"/>
          <w:sz w:val="28"/>
          <w:szCs w:val="28"/>
        </w:rPr>
        <w:t>снежинка, снеговик, Снегурочка, снегирь, снежный, подснежник…</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«Слова-неприятели», «Скажи наоборот» (подбор существительных, прилагательных, наречий, глаголов с противоположным значением): друг – враг, день – ночь; чистый – грязный, веселый – грустный; высоко – низко, далеко – близко, темно – светло…</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«Веселый счет» (согласование количественных числительных с существительным): один утенок, два утенка, пять утят; один ребенок, два ребенка, трое ребят…</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«Ещё лучше» (образование прилагательных и наречий в сравнительной степени): большой – больше, высокий – выше, сладкий – слаще, вкусный – вкуснее, холодно – холоднее…</w:t>
      </w:r>
    </w:p>
    <w:p w:rsidR="003B5FCD" w:rsidRPr="003B5FCD"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«Гномы и великаны» (образование существительных в превосходной степени): рука – ручища, усы – усищи, глаза – глазищи, кот - котище…</w:t>
      </w:r>
    </w:p>
    <w:p w:rsidR="003B5FCD" w:rsidRPr="009F4AF8" w:rsidRDefault="003B5FCD" w:rsidP="003B5FCD">
      <w:pPr>
        <w:pStyle w:val="a4"/>
        <w:numPr>
          <w:ilvl w:val="0"/>
          <w:numId w:val="2"/>
        </w:numPr>
        <w:spacing w:line="360" w:lineRule="auto"/>
        <w:jc w:val="center"/>
        <w:rPr>
          <w:rFonts w:ascii="Times New Roman" w:hAnsi="Times New Roman" w:cs="Times New Roman"/>
          <w:b/>
          <w:sz w:val="28"/>
          <w:szCs w:val="28"/>
        </w:rPr>
      </w:pPr>
      <w:r w:rsidRPr="003B5FCD">
        <w:rPr>
          <w:rFonts w:ascii="Times New Roman" w:hAnsi="Times New Roman" w:cs="Times New Roman"/>
          <w:sz w:val="28"/>
          <w:szCs w:val="28"/>
        </w:rPr>
        <w:t>«Что в чем живет?», «Женские профессии» (образование существительных с суффиксами «</w:t>
      </w:r>
      <w:proofErr w:type="spellStart"/>
      <w:r w:rsidRPr="003B5FCD">
        <w:rPr>
          <w:rFonts w:ascii="Times New Roman" w:hAnsi="Times New Roman" w:cs="Times New Roman"/>
          <w:sz w:val="28"/>
          <w:szCs w:val="28"/>
        </w:rPr>
        <w:t>иц</w:t>
      </w:r>
      <w:proofErr w:type="spellEnd"/>
      <w:r w:rsidRPr="003B5FCD">
        <w:rPr>
          <w:rFonts w:ascii="Times New Roman" w:hAnsi="Times New Roman" w:cs="Times New Roman"/>
          <w:sz w:val="28"/>
          <w:szCs w:val="28"/>
        </w:rPr>
        <w:t>», «ниц», «</w:t>
      </w:r>
      <w:proofErr w:type="spellStart"/>
      <w:r w:rsidRPr="003B5FCD">
        <w:rPr>
          <w:rFonts w:ascii="Times New Roman" w:hAnsi="Times New Roman" w:cs="Times New Roman"/>
          <w:sz w:val="28"/>
          <w:szCs w:val="28"/>
        </w:rPr>
        <w:t>онк</w:t>
      </w:r>
      <w:proofErr w:type="spellEnd"/>
      <w:r w:rsidRPr="003B5FCD">
        <w:rPr>
          <w:rFonts w:ascii="Times New Roman" w:hAnsi="Times New Roman" w:cs="Times New Roman"/>
          <w:sz w:val="28"/>
          <w:szCs w:val="28"/>
        </w:rPr>
        <w:t>», «</w:t>
      </w:r>
      <w:proofErr w:type="spellStart"/>
      <w:r w:rsidRPr="003B5FCD">
        <w:rPr>
          <w:rFonts w:ascii="Times New Roman" w:hAnsi="Times New Roman" w:cs="Times New Roman"/>
          <w:sz w:val="28"/>
          <w:szCs w:val="28"/>
        </w:rPr>
        <w:t>енк</w:t>
      </w:r>
      <w:proofErr w:type="spellEnd"/>
      <w:r w:rsidRPr="003B5FCD">
        <w:rPr>
          <w:rFonts w:ascii="Times New Roman" w:hAnsi="Times New Roman" w:cs="Times New Roman"/>
          <w:sz w:val="28"/>
          <w:szCs w:val="28"/>
        </w:rPr>
        <w:t>», обозначающими профессии, посуду со значением вместилища):</w:t>
      </w:r>
      <w:r w:rsidR="009F4AF8" w:rsidRPr="009F4AF8">
        <w:t xml:space="preserve"> </w:t>
      </w:r>
      <w:r w:rsidR="009F4AF8" w:rsidRPr="009F4AF8">
        <w:rPr>
          <w:rFonts w:ascii="Times New Roman" w:hAnsi="Times New Roman" w:cs="Times New Roman"/>
          <w:sz w:val="28"/>
          <w:szCs w:val="28"/>
        </w:rPr>
        <w:t>сахарница, хлебница, масленка, солонка; воспитательница, учительница, продавщица, дрессировщица…</w:t>
      </w:r>
    </w:p>
    <w:sectPr w:rsidR="003B5FCD" w:rsidRPr="009F4AF8" w:rsidSect="00A9632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3825"/>
    <w:multiLevelType w:val="hybridMultilevel"/>
    <w:tmpl w:val="9FDEA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DD1152"/>
    <w:multiLevelType w:val="multilevel"/>
    <w:tmpl w:val="63CE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67"/>
    <w:rsid w:val="00300A0E"/>
    <w:rsid w:val="003B5FCD"/>
    <w:rsid w:val="00887F67"/>
    <w:rsid w:val="009F4AF8"/>
    <w:rsid w:val="00A9632B"/>
    <w:rsid w:val="00AC4F67"/>
    <w:rsid w:val="00FC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711B8-D8CA-465D-B5C6-6F853E8C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0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5</cp:revision>
  <dcterms:created xsi:type="dcterms:W3CDTF">2021-11-15T10:11:00Z</dcterms:created>
  <dcterms:modified xsi:type="dcterms:W3CDTF">2021-11-15T11:05:00Z</dcterms:modified>
</cp:coreProperties>
</file>